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F7FF" w14:textId="77777777" w:rsidR="00AF35A2" w:rsidRPr="00437A05" w:rsidRDefault="00161F1F" w:rsidP="00AF35A2">
      <w:pPr>
        <w:pStyle w:val="Balk1"/>
        <w:rPr>
          <w:rFonts w:asciiTheme="minorHAnsi" w:hAnsiTheme="minorHAnsi"/>
          <w:sz w:val="24"/>
          <w:szCs w:val="24"/>
        </w:rPr>
      </w:pPr>
      <w:r w:rsidRPr="00437A05">
        <w:rPr>
          <w:rFonts w:asciiTheme="minorHAnsi" w:hAnsiTheme="minorHAnsi"/>
          <w:sz w:val="24"/>
          <w:szCs w:val="24"/>
        </w:rPr>
        <w:t xml:space="preserve">TİCARET </w:t>
      </w:r>
      <w:r w:rsidR="00AF35A2" w:rsidRPr="00437A05">
        <w:rPr>
          <w:rFonts w:asciiTheme="minorHAnsi" w:hAnsiTheme="minorHAnsi"/>
          <w:sz w:val="24"/>
          <w:szCs w:val="24"/>
        </w:rPr>
        <w:t>BAKANLIĞI</w:t>
      </w:r>
    </w:p>
    <w:p w14:paraId="1E9DBF57" w14:textId="77777777" w:rsidR="00AF35A2" w:rsidRPr="00437A05" w:rsidRDefault="00AF35A2" w:rsidP="00AF35A2">
      <w:pPr>
        <w:pStyle w:val="Balk3"/>
        <w:rPr>
          <w:rFonts w:asciiTheme="minorHAnsi" w:hAnsiTheme="minorHAnsi"/>
        </w:rPr>
      </w:pPr>
      <w:r w:rsidRPr="00437A05">
        <w:rPr>
          <w:rFonts w:asciiTheme="minorHAnsi" w:hAnsiTheme="minorHAnsi"/>
        </w:rPr>
        <w:t>BASIN AÇIKLAMASI</w:t>
      </w:r>
    </w:p>
    <w:p w14:paraId="24C22DF2" w14:textId="77777777" w:rsidR="00AF35A2" w:rsidRPr="00437A05" w:rsidRDefault="00AF35A2" w:rsidP="00AF35A2">
      <w:pPr>
        <w:pStyle w:val="stBilgi"/>
        <w:pBdr>
          <w:top w:val="single" w:sz="4" w:space="1" w:color="auto"/>
          <w:bottom w:val="single" w:sz="4" w:space="1" w:color="auto"/>
        </w:pBdr>
        <w:jc w:val="both"/>
        <w:rPr>
          <w:rFonts w:asciiTheme="minorHAnsi" w:hAnsiTheme="minorHAnsi"/>
        </w:rPr>
      </w:pPr>
    </w:p>
    <w:p w14:paraId="48695F60" w14:textId="77777777" w:rsidR="00AF35A2" w:rsidRPr="00437A05" w:rsidRDefault="00AF35A2" w:rsidP="00AF35A2">
      <w:pPr>
        <w:jc w:val="both"/>
        <w:rPr>
          <w:b/>
          <w:bCs/>
          <w:sz w:val="24"/>
          <w:szCs w:val="24"/>
        </w:rPr>
      </w:pPr>
    </w:p>
    <w:p w14:paraId="0D7CC423" w14:textId="799114CC" w:rsidR="00AF35A2" w:rsidRPr="00437A05" w:rsidRDefault="00171F7D" w:rsidP="00AF35A2">
      <w:pPr>
        <w:jc w:val="right"/>
        <w:rPr>
          <w:b/>
          <w:bCs/>
          <w:sz w:val="24"/>
          <w:szCs w:val="24"/>
        </w:rPr>
      </w:pPr>
      <w:r>
        <w:rPr>
          <w:b/>
          <w:bCs/>
          <w:sz w:val="24"/>
          <w:szCs w:val="24"/>
        </w:rPr>
        <w:t>12/01/2024</w:t>
      </w:r>
    </w:p>
    <w:p w14:paraId="067D3987" w14:textId="77777777" w:rsidR="00AF35A2" w:rsidRPr="00437A05" w:rsidRDefault="00AF35A2" w:rsidP="00AF35A2">
      <w:pPr>
        <w:jc w:val="center"/>
        <w:rPr>
          <w:color w:val="1F497D"/>
          <w:sz w:val="24"/>
          <w:szCs w:val="24"/>
        </w:rPr>
      </w:pPr>
    </w:p>
    <w:p w14:paraId="0D14961C" w14:textId="77777777" w:rsidR="00CA3F6A" w:rsidRPr="00437A05" w:rsidRDefault="00CA3F6A" w:rsidP="00AF35A2">
      <w:pPr>
        <w:jc w:val="both"/>
        <w:rPr>
          <w:color w:val="1F497D"/>
          <w:sz w:val="24"/>
          <w:szCs w:val="24"/>
        </w:rPr>
      </w:pPr>
    </w:p>
    <w:p w14:paraId="69CF6E23" w14:textId="2AB88464" w:rsidR="001326A4" w:rsidRPr="00437A05" w:rsidRDefault="008F2B33" w:rsidP="008F2B33">
      <w:pPr>
        <w:jc w:val="center"/>
        <w:rPr>
          <w:b/>
          <w:sz w:val="24"/>
          <w:szCs w:val="24"/>
        </w:rPr>
      </w:pPr>
      <w:r w:rsidRPr="00437A05">
        <w:rPr>
          <w:b/>
          <w:sz w:val="24"/>
          <w:szCs w:val="24"/>
        </w:rPr>
        <w:t xml:space="preserve">İTHALATTA KORUNMA ÖNLEMLERİNE İLİŞKİN </w:t>
      </w:r>
      <w:r w:rsidR="00161F1F" w:rsidRPr="00437A05">
        <w:rPr>
          <w:b/>
          <w:sz w:val="24"/>
          <w:szCs w:val="24"/>
        </w:rPr>
        <w:t>20</w:t>
      </w:r>
      <w:r w:rsidR="00F7284C">
        <w:rPr>
          <w:b/>
          <w:sz w:val="24"/>
          <w:szCs w:val="24"/>
        </w:rPr>
        <w:t>2</w:t>
      </w:r>
      <w:r w:rsidR="009C53C9">
        <w:rPr>
          <w:b/>
          <w:sz w:val="24"/>
          <w:szCs w:val="24"/>
        </w:rPr>
        <w:t>4</w:t>
      </w:r>
      <w:r w:rsidR="00161F1F" w:rsidRPr="00437A05">
        <w:rPr>
          <w:b/>
          <w:sz w:val="24"/>
          <w:szCs w:val="24"/>
        </w:rPr>
        <w:t>/</w:t>
      </w:r>
      <w:r w:rsidR="009C53C9">
        <w:rPr>
          <w:b/>
          <w:sz w:val="24"/>
          <w:szCs w:val="24"/>
        </w:rPr>
        <w:t>2</w:t>
      </w:r>
      <w:r w:rsidR="00161F1F" w:rsidRPr="00437A05">
        <w:rPr>
          <w:b/>
          <w:sz w:val="24"/>
          <w:szCs w:val="24"/>
        </w:rPr>
        <w:t xml:space="preserve"> SAYILI </w:t>
      </w:r>
      <w:r w:rsidRPr="00437A05">
        <w:rPr>
          <w:b/>
          <w:sz w:val="24"/>
          <w:szCs w:val="24"/>
        </w:rPr>
        <w:t xml:space="preserve">TEBLİĞ </w:t>
      </w:r>
      <w:r w:rsidR="001326A4" w:rsidRPr="00437A05">
        <w:rPr>
          <w:b/>
          <w:sz w:val="24"/>
          <w:szCs w:val="24"/>
        </w:rPr>
        <w:t>YAYIMLANDI.</w:t>
      </w:r>
    </w:p>
    <w:p w14:paraId="55C116DF" w14:textId="77777777" w:rsidR="00AF35A2" w:rsidRPr="00437A05" w:rsidRDefault="00AF35A2" w:rsidP="00892405">
      <w:pPr>
        <w:jc w:val="both"/>
        <w:rPr>
          <w:sz w:val="24"/>
          <w:szCs w:val="24"/>
        </w:rPr>
      </w:pPr>
    </w:p>
    <w:p w14:paraId="6B9740E6" w14:textId="77777777" w:rsidR="00892405" w:rsidRPr="00437A05" w:rsidRDefault="00892405" w:rsidP="00892405">
      <w:pPr>
        <w:jc w:val="both"/>
        <w:rPr>
          <w:sz w:val="24"/>
          <w:szCs w:val="24"/>
        </w:rPr>
      </w:pPr>
    </w:p>
    <w:p w14:paraId="24A1BA3B" w14:textId="6DD31E39" w:rsidR="008F2B33" w:rsidRDefault="00C83B07" w:rsidP="008F2B33">
      <w:pPr>
        <w:ind w:firstLine="708"/>
        <w:jc w:val="both"/>
        <w:rPr>
          <w:sz w:val="24"/>
          <w:szCs w:val="24"/>
        </w:rPr>
      </w:pPr>
      <w:r>
        <w:rPr>
          <w:sz w:val="24"/>
          <w:szCs w:val="24"/>
        </w:rPr>
        <w:t>Ü</w:t>
      </w:r>
      <w:r w:rsidR="008F2B33" w:rsidRPr="00437A05">
        <w:rPr>
          <w:sz w:val="24"/>
          <w:szCs w:val="24"/>
        </w:rPr>
        <w:t>lkemizde üretim yaparak ekonomiye katkı sağlayan ve istihdam yaratan yerli üreticilerin artan ithalata karşı korunması amacıyla İthalatta Korunma Önlemleri Mevzuatı kapsamında korunma önlemi uygulanabilmekte</w:t>
      </w:r>
      <w:r w:rsidR="00163215">
        <w:rPr>
          <w:sz w:val="24"/>
          <w:szCs w:val="24"/>
        </w:rPr>
        <w:t xml:space="preserve">dir. Bu kapsamda, </w:t>
      </w:r>
      <w:r w:rsidR="00163215" w:rsidRPr="003C788B">
        <w:rPr>
          <w:sz w:val="24"/>
          <w:szCs w:val="24"/>
        </w:rPr>
        <w:t xml:space="preserve">halihazırda </w:t>
      </w:r>
      <w:r w:rsidR="001A6F5A">
        <w:rPr>
          <w:sz w:val="24"/>
          <w:szCs w:val="24"/>
        </w:rPr>
        <w:t>9</w:t>
      </w:r>
      <w:r w:rsidR="00973FFF">
        <w:rPr>
          <w:sz w:val="24"/>
          <w:szCs w:val="24"/>
        </w:rPr>
        <w:t xml:space="preserve"> korunma önlemi yürürlükt</w:t>
      </w:r>
      <w:r w:rsidR="00692C3C">
        <w:rPr>
          <w:sz w:val="24"/>
          <w:szCs w:val="24"/>
        </w:rPr>
        <w:t>edir. Yerli üreticiler tarafından farklı ürün gruplarında ithalat artışından kaynaklı zarar gördüklerine ilişkin iletilen talepler ulusal ve uluslararası korunma önlemleri mevzuatı kapsamında değerlendirilerek yeni korunma önlemleri alınabilmektedir.</w:t>
      </w:r>
    </w:p>
    <w:p w14:paraId="3F7B6207" w14:textId="77777777" w:rsidR="00935779" w:rsidRDefault="00935779" w:rsidP="008F2B33">
      <w:pPr>
        <w:ind w:firstLine="708"/>
        <w:jc w:val="both"/>
        <w:rPr>
          <w:sz w:val="24"/>
          <w:szCs w:val="24"/>
        </w:rPr>
      </w:pPr>
    </w:p>
    <w:p w14:paraId="1176F00F" w14:textId="3E0AA586" w:rsidR="00935779" w:rsidRPr="00935779" w:rsidRDefault="00935779" w:rsidP="00935779">
      <w:pPr>
        <w:ind w:firstLine="708"/>
        <w:jc w:val="both"/>
        <w:rPr>
          <w:sz w:val="24"/>
          <w:szCs w:val="24"/>
        </w:rPr>
      </w:pPr>
      <w:r>
        <w:rPr>
          <w:sz w:val="24"/>
          <w:szCs w:val="24"/>
        </w:rPr>
        <w:t xml:space="preserve">Korunma önlemleri </w:t>
      </w:r>
      <w:r w:rsidRPr="00935779">
        <w:rPr>
          <w:sz w:val="24"/>
          <w:szCs w:val="24"/>
        </w:rPr>
        <w:t xml:space="preserve">yerli üreticilerin mevzuata uygun başvuruları üzerine ve uluslararası kurallar çerçevesinde yürütülen soruşturma ile yapılmaktadır. Soruşturma açılışı ve soruşturmanın usul ve esaslarına ilişkin hususlar ilgili tüm tarafları haberdar etmek amacıyla tebliğ ile </w:t>
      </w:r>
      <w:r w:rsidR="005C62A5" w:rsidRPr="00935779">
        <w:rPr>
          <w:sz w:val="24"/>
          <w:szCs w:val="24"/>
        </w:rPr>
        <w:t>Resmî</w:t>
      </w:r>
      <w:r w:rsidRPr="00935779">
        <w:rPr>
          <w:sz w:val="24"/>
          <w:szCs w:val="24"/>
        </w:rPr>
        <w:t xml:space="preserve"> </w:t>
      </w:r>
      <w:proofErr w:type="spellStart"/>
      <w:r w:rsidRPr="00935779">
        <w:rPr>
          <w:sz w:val="24"/>
          <w:szCs w:val="24"/>
        </w:rPr>
        <w:t>Gazete’de</w:t>
      </w:r>
      <w:proofErr w:type="spellEnd"/>
      <w:r w:rsidRPr="00935779">
        <w:rPr>
          <w:sz w:val="24"/>
          <w:szCs w:val="24"/>
        </w:rPr>
        <w:t xml:space="preserve"> ilan edilmektedir.</w:t>
      </w:r>
    </w:p>
    <w:p w14:paraId="6B723AE1" w14:textId="271B66E6" w:rsidR="008F2B33" w:rsidRPr="00437A05" w:rsidRDefault="008F2B33" w:rsidP="00AD58E6">
      <w:pPr>
        <w:jc w:val="both"/>
        <w:rPr>
          <w:sz w:val="24"/>
          <w:szCs w:val="24"/>
        </w:rPr>
      </w:pPr>
    </w:p>
    <w:p w14:paraId="5AE60606" w14:textId="3E814884" w:rsidR="00AD58E6" w:rsidRDefault="003C75F9" w:rsidP="00564E1F">
      <w:pPr>
        <w:ind w:firstLine="708"/>
        <w:jc w:val="both"/>
        <w:rPr>
          <w:sz w:val="24"/>
          <w:szCs w:val="24"/>
        </w:rPr>
      </w:pPr>
      <w:r>
        <w:rPr>
          <w:sz w:val="24"/>
          <w:szCs w:val="24"/>
        </w:rPr>
        <w:t xml:space="preserve">Bu kapsamda, </w:t>
      </w:r>
      <w:r w:rsidR="003563FE">
        <w:rPr>
          <w:sz w:val="24"/>
          <w:szCs w:val="24"/>
        </w:rPr>
        <w:t xml:space="preserve">Türk Gümrük </w:t>
      </w:r>
      <w:r w:rsidR="0050539E">
        <w:rPr>
          <w:sz w:val="24"/>
          <w:szCs w:val="24"/>
        </w:rPr>
        <w:t xml:space="preserve">Tarife </w:t>
      </w:r>
      <w:proofErr w:type="spellStart"/>
      <w:r w:rsidR="0050539E">
        <w:rPr>
          <w:sz w:val="24"/>
          <w:szCs w:val="24"/>
        </w:rPr>
        <w:t>Cetveli</w:t>
      </w:r>
      <w:r w:rsidR="003563FE">
        <w:rPr>
          <w:sz w:val="24"/>
          <w:szCs w:val="24"/>
        </w:rPr>
        <w:t>’</w:t>
      </w:r>
      <w:r w:rsidR="0050539E">
        <w:rPr>
          <w:sz w:val="24"/>
          <w:szCs w:val="24"/>
        </w:rPr>
        <w:t>nin</w:t>
      </w:r>
      <w:proofErr w:type="spellEnd"/>
      <w:r w:rsidR="003563FE">
        <w:rPr>
          <w:sz w:val="24"/>
          <w:szCs w:val="24"/>
        </w:rPr>
        <w:t xml:space="preserve"> (TGTC)</w:t>
      </w:r>
      <w:r w:rsidR="0050539E">
        <w:rPr>
          <w:sz w:val="24"/>
          <w:szCs w:val="24"/>
        </w:rPr>
        <w:t xml:space="preserve"> </w:t>
      </w:r>
      <w:r w:rsidR="00934210" w:rsidRPr="000D3D6B">
        <w:rPr>
          <w:lang w:val="en-US"/>
        </w:rPr>
        <w:t xml:space="preserve">60. </w:t>
      </w:r>
      <w:proofErr w:type="spellStart"/>
      <w:r w:rsidR="00934210" w:rsidRPr="000D3D6B">
        <w:rPr>
          <w:lang w:val="en-US"/>
        </w:rPr>
        <w:t>Fas</w:t>
      </w:r>
      <w:r w:rsidR="003563FE">
        <w:rPr>
          <w:lang w:val="en-US"/>
        </w:rPr>
        <w:t>lında</w:t>
      </w:r>
      <w:proofErr w:type="spellEnd"/>
      <w:r w:rsidR="00934210" w:rsidRPr="000D3D6B">
        <w:rPr>
          <w:lang w:val="en-US"/>
        </w:rPr>
        <w:t xml:space="preserve"> </w:t>
      </w:r>
      <w:proofErr w:type="spellStart"/>
      <w:r w:rsidR="00934210" w:rsidRPr="000D3D6B">
        <w:rPr>
          <w:lang w:val="en-US"/>
        </w:rPr>
        <w:t>yer</w:t>
      </w:r>
      <w:proofErr w:type="spellEnd"/>
      <w:r w:rsidR="00934210" w:rsidRPr="000D3D6B">
        <w:rPr>
          <w:lang w:val="en-US"/>
        </w:rPr>
        <w:t xml:space="preserve"> </w:t>
      </w:r>
      <w:proofErr w:type="spellStart"/>
      <w:r w:rsidR="00934210" w:rsidRPr="000D3D6B">
        <w:rPr>
          <w:lang w:val="en-US"/>
        </w:rPr>
        <w:t>alan</w:t>
      </w:r>
      <w:proofErr w:type="spellEnd"/>
      <w:r w:rsidR="00934210" w:rsidRPr="000D3D6B">
        <w:rPr>
          <w:lang w:val="en-US"/>
        </w:rPr>
        <w:t xml:space="preserve"> </w:t>
      </w:r>
      <w:r w:rsidR="00B25878">
        <w:rPr>
          <w:sz w:val="24"/>
          <w:szCs w:val="24"/>
        </w:rPr>
        <w:t>örme veya kroşe eşyanın</w:t>
      </w:r>
      <w:r w:rsidR="00AD58E6">
        <w:rPr>
          <w:sz w:val="24"/>
          <w:szCs w:val="24"/>
        </w:rPr>
        <w:t xml:space="preserve"> yerli üreticileri </w:t>
      </w:r>
      <w:r w:rsidR="00AD58E6" w:rsidRPr="00AD58E6">
        <w:rPr>
          <w:sz w:val="24"/>
          <w:szCs w:val="24"/>
        </w:rPr>
        <w:t xml:space="preserve">tarafından, anılan </w:t>
      </w:r>
      <w:r w:rsidR="000E72C9">
        <w:rPr>
          <w:sz w:val="24"/>
          <w:szCs w:val="24"/>
        </w:rPr>
        <w:t>eşyanın</w:t>
      </w:r>
      <w:r w:rsidR="00AD58E6" w:rsidRPr="00AD58E6">
        <w:rPr>
          <w:sz w:val="24"/>
          <w:szCs w:val="24"/>
        </w:rPr>
        <w:t xml:space="preserve"> ithalatında artış olduğu, ithalat artışının ve ithalatın gerçekleşme koşullarının yerli üretici üzerinde ciddi zarar ve</w:t>
      </w:r>
      <w:r w:rsidR="00B25878">
        <w:rPr>
          <w:sz w:val="24"/>
          <w:szCs w:val="24"/>
        </w:rPr>
        <w:t>ya</w:t>
      </w:r>
      <w:r w:rsidR="00AD58E6" w:rsidRPr="00AD58E6">
        <w:rPr>
          <w:sz w:val="24"/>
          <w:szCs w:val="24"/>
        </w:rPr>
        <w:t xml:space="preserve"> ciddi zarar tehdidi oluşturduğu gerekçesiyle söz konusu </w:t>
      </w:r>
      <w:r w:rsidR="00B25878">
        <w:rPr>
          <w:sz w:val="24"/>
          <w:szCs w:val="24"/>
        </w:rPr>
        <w:t>eşya</w:t>
      </w:r>
      <w:r w:rsidR="00AD58E6" w:rsidRPr="00AD58E6">
        <w:rPr>
          <w:sz w:val="24"/>
          <w:szCs w:val="24"/>
        </w:rPr>
        <w:t xml:space="preserve"> ithalatına karşı korunma önlemi alınması için Ticaret Bakanlığı’na başvuruda bulunulmuştur.</w:t>
      </w:r>
    </w:p>
    <w:p w14:paraId="1C073534" w14:textId="5C719AA7" w:rsidR="00935779" w:rsidRPr="00935779" w:rsidRDefault="00935779" w:rsidP="00935779">
      <w:pPr>
        <w:jc w:val="both"/>
        <w:rPr>
          <w:sz w:val="24"/>
          <w:szCs w:val="24"/>
        </w:rPr>
      </w:pPr>
    </w:p>
    <w:p w14:paraId="15C2277E" w14:textId="3CFF56D3" w:rsidR="00AD58E6" w:rsidRDefault="00935779" w:rsidP="00935779">
      <w:pPr>
        <w:ind w:firstLine="708"/>
        <w:jc w:val="both"/>
        <w:rPr>
          <w:sz w:val="24"/>
          <w:szCs w:val="24"/>
        </w:rPr>
      </w:pPr>
      <w:r w:rsidRPr="00935779">
        <w:rPr>
          <w:sz w:val="24"/>
          <w:szCs w:val="24"/>
        </w:rPr>
        <w:t xml:space="preserve">İthalatta Korunma Önlemlerine İlişkin Mevzuat çerçevesinde yapılan ön incelemeyi müteakip </w:t>
      </w:r>
      <w:r>
        <w:rPr>
          <w:sz w:val="24"/>
          <w:szCs w:val="24"/>
        </w:rPr>
        <w:t xml:space="preserve">başvuruya ilişkin </w:t>
      </w:r>
      <w:r w:rsidRPr="00935779">
        <w:rPr>
          <w:sz w:val="24"/>
          <w:szCs w:val="24"/>
        </w:rPr>
        <w:t xml:space="preserve">inceleme sonuçları İthalatta Korunma Önlemlerini Değerlendirme Kurulu’na sunulmuş ve anılan </w:t>
      </w:r>
      <w:r w:rsidRPr="008A1DD3">
        <w:rPr>
          <w:sz w:val="24"/>
          <w:szCs w:val="24"/>
        </w:rPr>
        <w:t xml:space="preserve">Kurul </w:t>
      </w:r>
      <w:r w:rsidR="00B25878">
        <w:rPr>
          <w:sz w:val="24"/>
          <w:szCs w:val="24"/>
        </w:rPr>
        <w:t>4</w:t>
      </w:r>
      <w:r w:rsidR="00CA0D22" w:rsidRPr="008A1DD3">
        <w:rPr>
          <w:sz w:val="24"/>
          <w:szCs w:val="24"/>
        </w:rPr>
        <w:t>/1/202</w:t>
      </w:r>
      <w:r w:rsidR="00B25878">
        <w:rPr>
          <w:sz w:val="24"/>
          <w:szCs w:val="24"/>
        </w:rPr>
        <w:t>4</w:t>
      </w:r>
      <w:r w:rsidRPr="008A1DD3">
        <w:rPr>
          <w:sz w:val="24"/>
          <w:szCs w:val="24"/>
        </w:rPr>
        <w:t xml:space="preserve"> tarihinde</w:t>
      </w:r>
      <w:r w:rsidRPr="00935779">
        <w:rPr>
          <w:sz w:val="24"/>
          <w:szCs w:val="24"/>
        </w:rPr>
        <w:t xml:space="preserve"> yaptığı toplantıda söz konusu eşyanın ithalatında korunma önlemi soruşturması açılmasına toplantıya katılan üyelerin oy birliği ile karar vermiştir.</w:t>
      </w:r>
    </w:p>
    <w:p w14:paraId="2B3DB0BF" w14:textId="0D46E804" w:rsidR="00564E1F" w:rsidRDefault="00564E1F" w:rsidP="00935779">
      <w:pPr>
        <w:jc w:val="both"/>
        <w:rPr>
          <w:sz w:val="24"/>
          <w:szCs w:val="24"/>
        </w:rPr>
      </w:pPr>
    </w:p>
    <w:p w14:paraId="38ADB44D" w14:textId="495D8CAD" w:rsidR="001331E9" w:rsidRDefault="00014407" w:rsidP="00935779">
      <w:pPr>
        <w:ind w:firstLine="708"/>
        <w:jc w:val="both"/>
        <w:rPr>
          <w:sz w:val="24"/>
          <w:szCs w:val="24"/>
        </w:rPr>
      </w:pPr>
      <w:r>
        <w:rPr>
          <w:sz w:val="24"/>
          <w:szCs w:val="24"/>
        </w:rPr>
        <w:t>Söz konusu soruşturma Ticaret Bakanlığı İthalat Genel Müdürlüğünce yürütülecek olup soruşturmaya taraf olmak isteyenlerin Tebliğ’in yayımı tarihinden itibaren 30 gün içerisinde Tebliğ’de belirtilen adrese, ilgili belgelerle başvurması gerekmektedir.</w:t>
      </w:r>
    </w:p>
    <w:p w14:paraId="24EAB472" w14:textId="77777777" w:rsidR="00935779" w:rsidRDefault="00935779" w:rsidP="00935779">
      <w:pPr>
        <w:ind w:firstLine="708"/>
        <w:jc w:val="both"/>
        <w:rPr>
          <w:sz w:val="24"/>
          <w:szCs w:val="24"/>
        </w:rPr>
      </w:pPr>
    </w:p>
    <w:p w14:paraId="1D50991B" w14:textId="3AF5A6A0" w:rsidR="001331E9" w:rsidRPr="00437A05" w:rsidRDefault="001331E9" w:rsidP="00014407">
      <w:pPr>
        <w:ind w:firstLine="708"/>
        <w:jc w:val="both"/>
        <w:rPr>
          <w:sz w:val="24"/>
          <w:szCs w:val="24"/>
        </w:rPr>
      </w:pPr>
      <w:r>
        <w:rPr>
          <w:sz w:val="24"/>
          <w:szCs w:val="24"/>
        </w:rPr>
        <w:t>Bakanlığımız, yerli üretim ve istihdam hedefleri doğrultusunda ithalat politikalarını etkin bir şekilde düzenlemeye devam edecektir.</w:t>
      </w:r>
    </w:p>
    <w:p w14:paraId="7032F763" w14:textId="77777777" w:rsidR="00E214A9" w:rsidRPr="00437A05" w:rsidRDefault="00E214A9" w:rsidP="00AD3172">
      <w:pPr>
        <w:ind w:firstLine="708"/>
        <w:jc w:val="both"/>
        <w:rPr>
          <w:sz w:val="24"/>
          <w:szCs w:val="24"/>
        </w:rPr>
      </w:pPr>
    </w:p>
    <w:p w14:paraId="6E499476" w14:textId="5CF73A5A" w:rsidR="00E214A9" w:rsidRDefault="00E214A9" w:rsidP="00AD3172">
      <w:pPr>
        <w:ind w:firstLine="708"/>
        <w:jc w:val="both"/>
        <w:rPr>
          <w:sz w:val="24"/>
          <w:szCs w:val="24"/>
        </w:rPr>
      </w:pPr>
      <w:r w:rsidRPr="00437A05">
        <w:rPr>
          <w:sz w:val="24"/>
          <w:szCs w:val="24"/>
        </w:rPr>
        <w:t>Kamuoyuna duyurulur.</w:t>
      </w:r>
    </w:p>
    <w:p w14:paraId="5CDBE80D" w14:textId="77777777" w:rsidR="00171F7D" w:rsidRDefault="00171F7D" w:rsidP="00AD3172">
      <w:pPr>
        <w:ind w:firstLine="708"/>
        <w:jc w:val="both"/>
        <w:rPr>
          <w:sz w:val="24"/>
          <w:szCs w:val="24"/>
        </w:rPr>
      </w:pPr>
    </w:p>
    <w:p w14:paraId="705F074B" w14:textId="08A7AE14" w:rsidR="00171F7D" w:rsidRDefault="00171F7D" w:rsidP="00AD3172">
      <w:pPr>
        <w:ind w:firstLine="708"/>
        <w:jc w:val="both"/>
        <w:rPr>
          <w:sz w:val="24"/>
          <w:szCs w:val="24"/>
        </w:rPr>
      </w:pPr>
    </w:p>
    <w:p w14:paraId="23CDE30D" w14:textId="2C8C1C87" w:rsidR="00171F7D" w:rsidRDefault="00171F7D" w:rsidP="00AD3172">
      <w:pPr>
        <w:ind w:firstLine="708"/>
        <w:jc w:val="both"/>
        <w:rPr>
          <w:sz w:val="24"/>
          <w:szCs w:val="24"/>
        </w:rPr>
      </w:pPr>
    </w:p>
    <w:p w14:paraId="28F967E7" w14:textId="77777777" w:rsidR="00171F7D" w:rsidRPr="0030161C" w:rsidRDefault="00171F7D" w:rsidP="00171F7D">
      <w:pPr>
        <w:jc w:val="both"/>
        <w:rPr>
          <w:i/>
          <w:iCs/>
        </w:rPr>
      </w:pPr>
      <w:r w:rsidRPr="0030161C">
        <w:rPr>
          <w:i/>
          <w:iCs/>
        </w:rPr>
        <w:t>Soruşturma klasörüne ilişkin bilgiler aşağıdaki linkte yer almaktadır.</w:t>
      </w:r>
    </w:p>
    <w:p w14:paraId="162F205E" w14:textId="2B4A3867" w:rsidR="00171F7D" w:rsidRPr="00171F7D" w:rsidRDefault="00171F7D" w:rsidP="00171F7D">
      <w:pPr>
        <w:jc w:val="both"/>
        <w:rPr>
          <w:sz w:val="20"/>
          <w:szCs w:val="20"/>
        </w:rPr>
      </w:pPr>
      <w:hyperlink r:id="rId4" w:history="1">
        <w:r w:rsidRPr="00171F7D">
          <w:rPr>
            <w:rStyle w:val="Kpr"/>
            <w:sz w:val="20"/>
            <w:szCs w:val="20"/>
          </w:rPr>
          <w:t xml:space="preserve">İthalatta Korunma Önlemlerine İlişkin </w:t>
        </w:r>
        <w:r w:rsidRPr="00171F7D">
          <w:rPr>
            <w:rStyle w:val="Kpr"/>
            <w:sz w:val="20"/>
            <w:szCs w:val="20"/>
          </w:rPr>
          <w:t>2</w:t>
        </w:r>
        <w:r w:rsidRPr="00171F7D">
          <w:rPr>
            <w:rStyle w:val="Kpr"/>
            <w:sz w:val="20"/>
            <w:szCs w:val="20"/>
          </w:rPr>
          <w:t>024/</w:t>
        </w:r>
        <w:r w:rsidRPr="00171F7D">
          <w:rPr>
            <w:rStyle w:val="Kpr"/>
            <w:sz w:val="20"/>
            <w:szCs w:val="20"/>
          </w:rPr>
          <w:t>2</w:t>
        </w:r>
        <w:r w:rsidRPr="00171F7D">
          <w:rPr>
            <w:rStyle w:val="Kpr"/>
            <w:sz w:val="20"/>
            <w:szCs w:val="20"/>
          </w:rPr>
          <w:t xml:space="preserve"> Sayılı Tebliğ</w:t>
        </w:r>
      </w:hyperlink>
      <w:r w:rsidRPr="0030161C">
        <w:rPr>
          <w:sz w:val="20"/>
          <w:szCs w:val="20"/>
        </w:rPr>
        <w:t xml:space="preserve"> </w:t>
      </w:r>
    </w:p>
    <w:sectPr w:rsidR="00171F7D" w:rsidRPr="00171F7D" w:rsidSect="00892405">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C71"/>
    <w:rsid w:val="00014407"/>
    <w:rsid w:val="00027373"/>
    <w:rsid w:val="00040959"/>
    <w:rsid w:val="000E72C9"/>
    <w:rsid w:val="00114C93"/>
    <w:rsid w:val="001326A4"/>
    <w:rsid w:val="001331E9"/>
    <w:rsid w:val="00161F1F"/>
    <w:rsid w:val="00163215"/>
    <w:rsid w:val="0016531B"/>
    <w:rsid w:val="00171F7D"/>
    <w:rsid w:val="001A6F5A"/>
    <w:rsid w:val="001C175D"/>
    <w:rsid w:val="001E1940"/>
    <w:rsid w:val="001E7E56"/>
    <w:rsid w:val="0028428C"/>
    <w:rsid w:val="002E4F3F"/>
    <w:rsid w:val="003212B1"/>
    <w:rsid w:val="003563FE"/>
    <w:rsid w:val="00385FBB"/>
    <w:rsid w:val="003879BC"/>
    <w:rsid w:val="003C75F9"/>
    <w:rsid w:val="003C788B"/>
    <w:rsid w:val="00424E4D"/>
    <w:rsid w:val="00437A05"/>
    <w:rsid w:val="00477726"/>
    <w:rsid w:val="004A185E"/>
    <w:rsid w:val="004A3BE7"/>
    <w:rsid w:val="004B52FF"/>
    <w:rsid w:val="004B73E8"/>
    <w:rsid w:val="004C7E28"/>
    <w:rsid w:val="004F0D5E"/>
    <w:rsid w:val="0050539E"/>
    <w:rsid w:val="005479A0"/>
    <w:rsid w:val="00564E1F"/>
    <w:rsid w:val="0059345E"/>
    <w:rsid w:val="005C5BCD"/>
    <w:rsid w:val="005C62A5"/>
    <w:rsid w:val="00612472"/>
    <w:rsid w:val="00692C3C"/>
    <w:rsid w:val="006D5C71"/>
    <w:rsid w:val="006D774C"/>
    <w:rsid w:val="006F719A"/>
    <w:rsid w:val="00700BE9"/>
    <w:rsid w:val="00773A7D"/>
    <w:rsid w:val="00786447"/>
    <w:rsid w:val="007F40D6"/>
    <w:rsid w:val="008332AF"/>
    <w:rsid w:val="0084646E"/>
    <w:rsid w:val="008566A0"/>
    <w:rsid w:val="00892405"/>
    <w:rsid w:val="008A1DD3"/>
    <w:rsid w:val="008F2B33"/>
    <w:rsid w:val="00917A65"/>
    <w:rsid w:val="00934210"/>
    <w:rsid w:val="00935779"/>
    <w:rsid w:val="009579FA"/>
    <w:rsid w:val="00973FFF"/>
    <w:rsid w:val="009C53C9"/>
    <w:rsid w:val="009D0036"/>
    <w:rsid w:val="009F3333"/>
    <w:rsid w:val="00A34BFE"/>
    <w:rsid w:val="00A40005"/>
    <w:rsid w:val="00A55318"/>
    <w:rsid w:val="00A632E1"/>
    <w:rsid w:val="00A65E4B"/>
    <w:rsid w:val="00AB1592"/>
    <w:rsid w:val="00AB61CB"/>
    <w:rsid w:val="00AD3172"/>
    <w:rsid w:val="00AD58E6"/>
    <w:rsid w:val="00AF35A2"/>
    <w:rsid w:val="00B03386"/>
    <w:rsid w:val="00B25878"/>
    <w:rsid w:val="00B85F86"/>
    <w:rsid w:val="00BF0368"/>
    <w:rsid w:val="00BF4DA3"/>
    <w:rsid w:val="00C83B07"/>
    <w:rsid w:val="00CA0D22"/>
    <w:rsid w:val="00CA3F6A"/>
    <w:rsid w:val="00CB7B58"/>
    <w:rsid w:val="00CF1F2D"/>
    <w:rsid w:val="00D32A11"/>
    <w:rsid w:val="00D535CD"/>
    <w:rsid w:val="00D8414F"/>
    <w:rsid w:val="00D900B5"/>
    <w:rsid w:val="00DB1663"/>
    <w:rsid w:val="00E214A9"/>
    <w:rsid w:val="00E24FED"/>
    <w:rsid w:val="00E85500"/>
    <w:rsid w:val="00E91290"/>
    <w:rsid w:val="00EA28BA"/>
    <w:rsid w:val="00EA6C72"/>
    <w:rsid w:val="00F7284C"/>
    <w:rsid w:val="00F81B92"/>
    <w:rsid w:val="00FC476A"/>
    <w:rsid w:val="00FF35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659C5"/>
  <w15:chartTrackingRefBased/>
  <w15:docId w15:val="{4D533FFA-40FF-46DB-BC26-7206B7DA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C71"/>
    <w:pPr>
      <w:spacing w:after="0" w:line="240" w:lineRule="auto"/>
    </w:pPr>
    <w:rPr>
      <w:rFonts w:ascii="Calibri" w:hAnsi="Calibri" w:cs="Calibri"/>
    </w:rPr>
  </w:style>
  <w:style w:type="paragraph" w:styleId="Balk1">
    <w:name w:val="heading 1"/>
    <w:basedOn w:val="Normal"/>
    <w:link w:val="Balk1Char"/>
    <w:uiPriority w:val="99"/>
    <w:qFormat/>
    <w:rsid w:val="00CA3F6A"/>
    <w:pPr>
      <w:keepNext/>
      <w:jc w:val="center"/>
      <w:outlineLvl w:val="0"/>
    </w:pPr>
    <w:rPr>
      <w:rFonts w:ascii="Times New Roman" w:eastAsia="Times New Roman" w:hAnsi="Times New Roman" w:cs="Times New Roman"/>
      <w:b/>
      <w:bCs/>
      <w:kern w:val="36"/>
      <w:sz w:val="36"/>
      <w:szCs w:val="36"/>
      <w:lang w:eastAsia="tr-TR"/>
    </w:rPr>
  </w:style>
  <w:style w:type="paragraph" w:styleId="Balk3">
    <w:name w:val="heading 3"/>
    <w:basedOn w:val="Normal"/>
    <w:link w:val="Balk3Char"/>
    <w:uiPriority w:val="99"/>
    <w:semiHidden/>
    <w:unhideWhenUsed/>
    <w:qFormat/>
    <w:rsid w:val="00CA3F6A"/>
    <w:pPr>
      <w:keepNext/>
      <w:jc w:val="center"/>
      <w:outlineLvl w:val="2"/>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basedOn w:val="Normal"/>
    <w:rsid w:val="006D5C71"/>
    <w:pPr>
      <w:autoSpaceDE w:val="0"/>
      <w:autoSpaceDN w:val="0"/>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9"/>
    <w:rsid w:val="00CA3F6A"/>
    <w:rPr>
      <w:rFonts w:ascii="Times New Roman" w:eastAsia="Times New Roman" w:hAnsi="Times New Roman" w:cs="Times New Roman"/>
      <w:b/>
      <w:bCs/>
      <w:kern w:val="36"/>
      <w:sz w:val="36"/>
      <w:szCs w:val="36"/>
      <w:lang w:eastAsia="tr-TR"/>
    </w:rPr>
  </w:style>
  <w:style w:type="character" w:customStyle="1" w:styleId="Balk3Char">
    <w:name w:val="Başlık 3 Char"/>
    <w:basedOn w:val="VarsaylanParagrafYazTipi"/>
    <w:link w:val="Balk3"/>
    <w:uiPriority w:val="99"/>
    <w:semiHidden/>
    <w:rsid w:val="00CA3F6A"/>
    <w:rPr>
      <w:rFonts w:ascii="Times New Roman" w:eastAsia="Times New Roman" w:hAnsi="Times New Roman" w:cs="Times New Roman"/>
      <w:b/>
      <w:bCs/>
      <w:sz w:val="24"/>
      <w:szCs w:val="24"/>
      <w:lang w:eastAsia="tr-TR"/>
    </w:rPr>
  </w:style>
  <w:style w:type="paragraph" w:styleId="stBilgi">
    <w:name w:val="header"/>
    <w:basedOn w:val="Normal"/>
    <w:link w:val="stBilgiChar"/>
    <w:uiPriority w:val="99"/>
    <w:unhideWhenUsed/>
    <w:rsid w:val="00CA3F6A"/>
    <w:rPr>
      <w:rFonts w:ascii="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CA3F6A"/>
    <w:rPr>
      <w:rFonts w:ascii="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332A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32AF"/>
    <w:rPr>
      <w:rFonts w:ascii="Segoe UI" w:hAnsi="Segoe UI" w:cs="Segoe UI"/>
      <w:sz w:val="18"/>
      <w:szCs w:val="18"/>
    </w:rPr>
  </w:style>
  <w:style w:type="paragraph" w:styleId="GvdeMetniGirintisi">
    <w:name w:val="Body Text Indent"/>
    <w:basedOn w:val="Normal"/>
    <w:link w:val="GvdeMetniGirintisiChar"/>
    <w:semiHidden/>
    <w:rsid w:val="00437A05"/>
    <w:pPr>
      <w:ind w:firstLine="720"/>
      <w:jc w:val="both"/>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semiHidden/>
    <w:rsid w:val="00437A05"/>
    <w:rPr>
      <w:rFonts w:ascii="Times New Roman" w:eastAsia="Times New Roman" w:hAnsi="Times New Roman" w:cs="Times New Roman"/>
      <w:sz w:val="24"/>
      <w:szCs w:val="24"/>
    </w:rPr>
  </w:style>
  <w:style w:type="character" w:styleId="Kpr">
    <w:name w:val="Hyperlink"/>
    <w:basedOn w:val="VarsaylanParagrafYazTipi"/>
    <w:uiPriority w:val="99"/>
    <w:unhideWhenUsed/>
    <w:rsid w:val="00171F7D"/>
    <w:rPr>
      <w:color w:val="0563C1" w:themeColor="hyperlink"/>
      <w:u w:val="single"/>
    </w:rPr>
  </w:style>
  <w:style w:type="character" w:styleId="zmlenmeyenBahsetme">
    <w:name w:val="Unresolved Mention"/>
    <w:basedOn w:val="VarsaylanParagrafYazTipi"/>
    <w:uiPriority w:val="99"/>
    <w:semiHidden/>
    <w:unhideWhenUsed/>
    <w:rsid w:val="00171F7D"/>
    <w:rPr>
      <w:color w:val="605E5C"/>
      <w:shd w:val="clear" w:color="auto" w:fill="E1DFDD"/>
    </w:rPr>
  </w:style>
  <w:style w:type="character" w:styleId="zlenenKpr">
    <w:name w:val="FollowedHyperlink"/>
    <w:basedOn w:val="VarsaylanParagrafYazTipi"/>
    <w:uiPriority w:val="99"/>
    <w:semiHidden/>
    <w:unhideWhenUsed/>
    <w:rsid w:val="00171F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98394">
      <w:bodyDiv w:val="1"/>
      <w:marLeft w:val="0"/>
      <w:marRight w:val="0"/>
      <w:marTop w:val="0"/>
      <w:marBottom w:val="0"/>
      <w:divBdr>
        <w:top w:val="none" w:sz="0" w:space="0" w:color="auto"/>
        <w:left w:val="none" w:sz="0" w:space="0" w:color="auto"/>
        <w:bottom w:val="none" w:sz="0" w:space="0" w:color="auto"/>
        <w:right w:val="none" w:sz="0" w:space="0" w:color="auto"/>
      </w:divBdr>
    </w:div>
    <w:div w:id="1847212976">
      <w:bodyDiv w:val="1"/>
      <w:marLeft w:val="0"/>
      <w:marRight w:val="0"/>
      <w:marTop w:val="0"/>
      <w:marBottom w:val="0"/>
      <w:divBdr>
        <w:top w:val="none" w:sz="0" w:space="0" w:color="auto"/>
        <w:left w:val="none" w:sz="0" w:space="0" w:color="auto"/>
        <w:bottom w:val="none" w:sz="0" w:space="0" w:color="auto"/>
        <w:right w:val="none" w:sz="0" w:space="0" w:color="auto"/>
      </w:divBdr>
    </w:div>
    <w:div w:id="202231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icaret.gov.tr/ithalat/ticaret-politikasi-savunma-araclari/korunma-onlemleri/sorusturmalar/devam-eden-sorusturmalar-ongoing-investigations/teblig-no-2024-2-orme-mensucat-tum-ulkele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372</Words>
  <Characters>2121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FNSS Savunma Sistemleri A.S</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Yavuz TÜRKER</dc:creator>
  <cp:keywords/>
  <dc:description/>
  <cp:lastModifiedBy>Serdar Akçay</cp:lastModifiedBy>
  <cp:revision>19</cp:revision>
  <cp:lastPrinted>2023-07-07T08:26:00Z</cp:lastPrinted>
  <dcterms:created xsi:type="dcterms:W3CDTF">2023-07-07T11:06:00Z</dcterms:created>
  <dcterms:modified xsi:type="dcterms:W3CDTF">2024-01-12T12:00:00Z</dcterms:modified>
</cp:coreProperties>
</file>